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Style w:val="5"/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元（大写：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 报价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包含拍摄及后期制作产生的所有费用，包括但不仅限于演员费、服装费、化妆费、道具费、场地租赁费、交通费、食宿费、设备费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税费和完成本项目所须的其他相关费用。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 投标人按照总价进行报价，超过本项目招标控制价（20万元）视为无效报价，所有视频合计时长不超过20分钟。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 报价金额大小写不一致的，以大写为准。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557F0803"/>
    <w:rsid w:val="05A74E52"/>
    <w:rsid w:val="1EE341C4"/>
    <w:rsid w:val="25F85512"/>
    <w:rsid w:val="2A3458E7"/>
    <w:rsid w:val="40122A43"/>
    <w:rsid w:val="557F0803"/>
    <w:rsid w:val="5C4A631D"/>
    <w:rsid w:val="61EF10FF"/>
    <w:rsid w:val="630459F6"/>
    <w:rsid w:val="67422429"/>
    <w:rsid w:val="6E9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2023-12-26T11:39:00Z</dcterms:created>
  <dc:creator>高燕清</dc:creator>
  <cp:lastModifiedBy>Asa</cp:lastModifiedBy>
  <cp:lastPrinted>2024-08-23T06:57:27Z</cp:lastPrinted>
  <dcterms:modified xsi:type="dcterms:W3CDTF">2024-08-23T06:57:43Z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5948D47E4A8C4AD0802E39FFD0ED1D43_11</vt:lpwstr>
  </property>
</Properties>
</file>