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仿宋" w:eastAsia="仿宋" w:cs="Times New Roman"/>
          <w:sz w:val="24"/>
          <w:szCs w:val="24"/>
          <w:lang w:eastAsia="zh-CN"/>
        </w:rPr>
      </w:pPr>
      <w:r>
        <w:rPr>
          <w:rFonts w:hint="eastAsia" w:ascii="Times New Roman" w:hAnsi="仿宋" w:eastAsia="仿宋" w:cs="Times New Roman"/>
          <w:sz w:val="24"/>
          <w:szCs w:val="24"/>
        </w:rPr>
        <w:t>附件</w:t>
      </w:r>
      <w:r>
        <w:rPr>
          <w:rFonts w:hint="eastAsia" w:ascii="Times New Roman" w:hAnsi="仿宋" w:eastAsia="仿宋" w:cs="Times New Roman"/>
          <w:sz w:val="24"/>
          <w:szCs w:val="24"/>
          <w:lang w:val="en-US" w:eastAsia="zh-CN"/>
        </w:rPr>
        <w:t>3</w:t>
      </w:r>
      <w:r>
        <w:rPr>
          <w:rFonts w:hint="eastAsia" w:ascii="Times New Roman" w:hAnsi="仿宋" w:eastAsia="仿宋" w:cs="Times New Roman"/>
          <w:sz w:val="24"/>
          <w:szCs w:val="24"/>
        </w:rPr>
        <w:t>：</w:t>
      </w:r>
      <w:r>
        <w:rPr>
          <w:rFonts w:hint="eastAsia" w:ascii="Times New Roman" w:hAnsi="仿宋" w:eastAsia="仿宋" w:cs="Times New Roman"/>
          <w:szCs w:val="21"/>
          <w:u w:val="single"/>
        </w:rPr>
        <w:t>电化学综合测试仪</w:t>
      </w:r>
      <w:r>
        <w:rPr>
          <w:rFonts w:ascii="Times New Roman" w:hAnsi="仿宋" w:eastAsia="仿宋" w:cs="Times New Roman"/>
          <w:sz w:val="24"/>
          <w:szCs w:val="24"/>
        </w:rPr>
        <w:t>技术参数</w:t>
      </w:r>
      <w:r>
        <w:rPr>
          <w:rFonts w:hint="eastAsia" w:ascii="Times New Roman" w:hAnsi="仿宋" w:eastAsia="仿宋" w:cs="Times New Roman"/>
          <w:sz w:val="24"/>
          <w:szCs w:val="24"/>
          <w:lang w:eastAsia="zh-CN"/>
        </w:rPr>
        <w:t>（</w:t>
      </w:r>
      <w:r>
        <w:rPr>
          <w:rFonts w:hint="eastAsia" w:ascii="Times New Roman" w:hAnsi="仿宋" w:eastAsia="仿宋" w:cs="Times New Roman"/>
          <w:sz w:val="24"/>
          <w:szCs w:val="24"/>
          <w:lang w:val="en-US" w:eastAsia="zh-CN"/>
        </w:rPr>
        <w:t>2台</w:t>
      </w:r>
      <w:r>
        <w:rPr>
          <w:rFonts w:hint="eastAsia" w:ascii="Times New Roman" w:hAnsi="仿宋" w:eastAsia="仿宋" w:cs="Times New Roman"/>
          <w:sz w:val="24"/>
          <w:szCs w:val="24"/>
          <w:lang w:eastAsia="zh-CN"/>
        </w:rPr>
        <w:t>）</w:t>
      </w:r>
    </w:p>
    <w:p>
      <w:pPr>
        <w:rPr>
          <w:rFonts w:hint="eastAsia" w:ascii="Times New Roman" w:hAnsi="仿宋" w:eastAsia="仿宋" w:cs="Times New Roman"/>
          <w:sz w:val="24"/>
          <w:szCs w:val="24"/>
          <w:lang w:val="en-US" w:eastAsia="zh-CN"/>
        </w:rPr>
      </w:pPr>
    </w:p>
    <w:p>
      <w:pPr>
        <w:rPr>
          <w:rFonts w:hint="eastAsia" w:ascii="Times New Roman" w:hAnsi="仿宋" w:eastAsia="仿宋" w:cs="Times New Roman"/>
          <w:sz w:val="24"/>
          <w:szCs w:val="24"/>
          <w:lang w:val="en-US" w:eastAsia="zh-CN"/>
        </w:rPr>
      </w:pP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一、技术性能参数要求</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1、可在同一杯样品中，连续测定锅水中pH、酚酞碱度、电导率、总碱度、Cl根；以及给水/原水中pH、总碱度、电导率、Cl根和硬度。测定结果可同时用于计算溶解固形物，相对碱度，固氯比等项目；</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2、主机必须支持平行滴定功能，可同时控制两个驱动器在两个不同滴定杯中进行相同或者不同的滴定反应；（要求为标准配置功能）</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3、每台主机可同时连接驱动器≥9个，均可用于滴定、加液、配液、移液、稀释等用途；</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4、具备“if…then…” 逻辑判断功能；（要求为标准配置功能）</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5、具备3个以上MSB接口；</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6.、驱动器：瓶顶式，由顶部往下驱动，不得采取由下往上驱动方式；</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7、滴定管带旋转4通阀，4通路设计，可自由设定液体的在4个通道中的运动方向，可吸入空气以完全排空定量管及管路；</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8、滴定管必须具备50ml 规格可选，并可用于滴定分析；</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9、驱动器必须为外置式，不得内置在主机中；</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10、测量范围：电位：±1200.0mV， pH值：-13.000～20.000，温度：-150.0～+250.0℃，极化电流：-125.0～+125.0μA，极化电位：-1250～+1250mV测量分辨率：电位0.1mV，pH值0.001pH，温度0.1℃。</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11、自动样品处理，样品处理器位数≥14位，样品杯容量≥200ml；</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12、具备2个以上扩展接口，可连接额外的配液器、滴定管单元辅助设备，辅助完成更加复杂的液体处理、定量加液、定量吸液、定量移液等功能；</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13、电极连接线缆内置数/模转换器，将模拟信号转换成二进制代码，信号传输实现数字化。</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14、滴定管分辨率：1/10000或更优</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15、滴定管加液误差（20mL）：≤±40 μL（0.2%）</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16、滴定管必须具备50ml 规格可选，并可用于滴定分析</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17、螺旋搅拌器正反双向搅拌控制，10档以上变速</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18、电导测量范围：0.005-20ms/cm(电导池常数为0.7cm-1)</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19、电导测量温度电极：PT1000</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20、电导测量温度测量范围：0-70℃</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二、仪器配置：</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1、测试仪主机：1台；2、上端螺旋搅拌器：1个；3、驱动配液器：4个</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4、滴定管：20ml滴定管3个,10ml滴定管3个；5、滴定工作站1套（含中文电脑控制软件1套 ）</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6、长寿命银电极1根，数字智能水相PH复合电极2根，钙离子选择电极2根。</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7、指示电极电缆2根，数字智能电极电缆1根，USB 连接线2根。</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8、电导测定控制模块一套（含电导池常数为0.7cm-1的五环电导电极1根）</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9、自动样品处理器1套；10、样品管1包/1000个；11、品牌笔记本电脑1台</w:t>
      </w:r>
    </w:p>
    <w:p>
      <w:pPr>
        <w:rPr>
          <w:rFonts w:hint="eastAsia" w:ascii="Times New Roman" w:hAnsi="仿宋" w:eastAsia="仿宋" w:cs="Times New Roman"/>
          <w:sz w:val="24"/>
          <w:szCs w:val="24"/>
          <w:lang w:val="en-US" w:eastAsia="zh-CN"/>
        </w:rPr>
      </w:pPr>
      <w:r>
        <w:rPr>
          <w:rFonts w:hint="eastAsia" w:ascii="Times New Roman" w:hAnsi="仿宋" w:eastAsia="仿宋" w:cs="Times New Roman"/>
          <w:sz w:val="24"/>
          <w:szCs w:val="24"/>
          <w:lang w:val="en-US" w:eastAsia="zh-CN"/>
        </w:rPr>
        <w:t>12、产品相关说明书保修卡等文件资料1套；13、需要提供相关数据的计量证书。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NWMzOWUzMmJjNTIzNzgxZjU1OGM2NGY3MTQyMTcifQ=="/>
  </w:docVars>
  <w:rsids>
    <w:rsidRoot w:val="25A5138C"/>
    <w:rsid w:val="01281213"/>
    <w:rsid w:val="05786762"/>
    <w:rsid w:val="0AAA31D7"/>
    <w:rsid w:val="25A5138C"/>
    <w:rsid w:val="25AF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768</Words>
  <Characters>1057</Characters>
  <Lines>0</Lines>
  <Paragraphs>0</Paragraphs>
  <TotalTime>0</TotalTime>
  <ScaleCrop>false</ScaleCrop>
  <LinksUpToDate>false</LinksUpToDate>
  <CharactersWithSpaces>1186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2023-03-02T10:44:00Z</dcterms:created>
  <dc:creator>程宇</dc:creator>
  <cp:lastModifiedBy>程宇</cp:lastModifiedBy>
  <dcterms:modified xsi:type="dcterms:W3CDTF">2023-03-02T10:55:53Z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757520CB0BDA4218B90B46DD304B9DDC</vt:lpwstr>
  </property>
</Properties>
</file>